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1" w:rsidRDefault="00D25991" w:rsidP="00D2599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proofErr w:type="gramStart"/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 N СТ-160-04-3.2 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"Утверждение и выдача схемы расположения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земельного участка на кадастровом плане или кадастровой карте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соответствующей территории в пределах кадастрового квартала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под зданиями, строениями, сооружениями, объектами незавершенного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строительства, временными объектами, по незастроенным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земельным участкам, являющимся прилегающей территорией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к зданиям, строениям, сооружениям, в случае, если не осуществлен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государственный кадастровый учет земельного участка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или в государственном кадастре недвижимости</w:t>
      </w:r>
      <w:proofErr w:type="gramEnd"/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 xml:space="preserve"> отсутствуют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сведения о земельном участке, необходимые для выдачи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кадастрового паспорта земельного участка"</w:t>
      </w:r>
    </w:p>
    <w:p w:rsidR="00D25991" w:rsidRPr="002A094A" w:rsidRDefault="00D25991" w:rsidP="00D2599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D25991" w:rsidRPr="002A094A" w:rsidRDefault="00D25991" w:rsidP="00D25991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на оказание услуги - 1 экз. (оригинал);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3. Проект схемы расположения земельного участка на кадастровом плане соответствующей территории в пределах кадастрового квартала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5 экз. (оригинал)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4.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5.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6. Кадастровый план территории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r w:rsidRPr="002A094A">
        <w:rPr>
          <w:rFonts w:ascii="Times New Roman" w:hAnsi="Times New Roman"/>
          <w:sz w:val="20"/>
          <w:szCs w:val="20"/>
        </w:rPr>
        <w:t xml:space="preserve"> 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7. Кадастровая выписка об объекте недвижимости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8. Кадастровый паспорт земельного участка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</w:t>
      </w:r>
      <w:r w:rsidRPr="002A094A">
        <w:rPr>
          <w:rFonts w:ascii="Times New Roman" w:hAnsi="Times New Roman"/>
          <w:sz w:val="20"/>
          <w:szCs w:val="20"/>
        </w:rPr>
        <w:t>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9. </w:t>
      </w:r>
      <w:hyperlink r:id="rId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Выписка</w:t>
        </w:r>
      </w:hyperlink>
      <w:r w:rsidRPr="002A094A">
        <w:rPr>
          <w:rFonts w:ascii="Times New Roman" w:hAnsi="Times New Roman"/>
          <w:sz w:val="20"/>
          <w:szCs w:val="20"/>
        </w:rPr>
        <w:t xml:space="preserve">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2A094A">
        <w:rPr>
          <w:rFonts w:ascii="Times New Roman" w:hAnsi="Times New Roman"/>
          <w:sz w:val="20"/>
          <w:szCs w:val="20"/>
        </w:rPr>
        <w:t>находящиеся</w:t>
      </w:r>
      <w:proofErr w:type="gramEnd"/>
      <w:r w:rsidRPr="002A094A">
        <w:rPr>
          <w:rFonts w:ascii="Times New Roman" w:hAnsi="Times New Roman"/>
          <w:sz w:val="20"/>
          <w:szCs w:val="20"/>
        </w:rPr>
        <w:t xml:space="preserve"> на испрашиваемом земельном участке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10. Документ, удостоверяющий (устанавливающий) права на здание, строение, сооружение, если право на такое здание, строение, сооружение не зарегистрировано в </w:t>
      </w:r>
      <w:hyperlink r:id="rId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Едином государственном реестре прав</w:t>
        </w:r>
      </w:hyperlink>
      <w:r w:rsidRPr="002A094A">
        <w:rPr>
          <w:rFonts w:ascii="Times New Roman" w:hAnsi="Times New Roman"/>
          <w:sz w:val="20"/>
          <w:szCs w:val="20"/>
        </w:rPr>
        <w:t xml:space="preserve"> на недвижимое имущество и сделок с ним (при наличии зданий, строений, сооружений на испрашиваемом земельном участке)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(копия)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11. Документы, подтверждающие обстоятельства, дающие право приобретения земельного участка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(копия)</w:t>
      </w:r>
      <w:hyperlink w:anchor="sub_1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12. Технический паспорт или кадастровый паспорт объекта недвижимости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(копия)</w:t>
      </w:r>
      <w:r w:rsidRPr="002A094A">
        <w:rPr>
          <w:rFonts w:ascii="Times New Roman" w:hAnsi="Times New Roman"/>
          <w:sz w:val="20"/>
          <w:szCs w:val="20"/>
        </w:rPr>
        <w:t>.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К рекомендуемым документам относятся: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Каталог координат углов поворотных точек границ земельного участка, в местной системе координат города Ростова-на-Дону или МСК-61 в обменном формате *.</w:t>
      </w:r>
      <w:proofErr w:type="spellStart"/>
      <w:r w:rsidRPr="002A094A">
        <w:rPr>
          <w:rFonts w:ascii="Times New Roman" w:hAnsi="Times New Roman"/>
          <w:sz w:val="20"/>
          <w:szCs w:val="20"/>
        </w:rPr>
        <w:t>mid</w:t>
      </w:r>
      <w:proofErr w:type="spellEnd"/>
      <w:r w:rsidRPr="002A094A">
        <w:rPr>
          <w:rFonts w:ascii="Times New Roman" w:hAnsi="Times New Roman"/>
          <w:sz w:val="20"/>
          <w:szCs w:val="20"/>
        </w:rPr>
        <w:t>-*.</w:t>
      </w:r>
      <w:proofErr w:type="spellStart"/>
      <w:r w:rsidRPr="002A094A">
        <w:rPr>
          <w:rFonts w:ascii="Times New Roman" w:hAnsi="Times New Roman"/>
          <w:sz w:val="20"/>
          <w:szCs w:val="20"/>
        </w:rPr>
        <w:t>mif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</w:t>
      </w:r>
      <w:proofErr w:type="gramStart"/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на</w:t>
      </w:r>
      <w:proofErr w:type="gramEnd"/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proofErr w:type="gramStart"/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электроном</w:t>
      </w:r>
      <w:proofErr w:type="gramEnd"/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 xml:space="preserve"> носителе)</w:t>
      </w:r>
      <w:r w:rsidRPr="002A094A">
        <w:rPr>
          <w:rFonts w:ascii="Times New Roman" w:hAnsi="Times New Roman"/>
          <w:sz w:val="20"/>
          <w:szCs w:val="20"/>
        </w:rPr>
        <w:t xml:space="preserve"> (Организации, занимающиеся кадастровой деятельностью, либо кадастровые инженеры);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2. Топографическая съемка земельного участка в М 1:500 с текущими изменениями (принятая в ИСОГД) (выполненная не ранее 1 года до даты подачи заявления)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(копия)</w:t>
      </w:r>
      <w:r w:rsidRPr="002A094A">
        <w:rPr>
          <w:rFonts w:ascii="Times New Roman" w:hAnsi="Times New Roman"/>
          <w:sz w:val="20"/>
          <w:szCs w:val="20"/>
        </w:rPr>
        <w:t xml:space="preserve"> (кадастровые инженеры, межевые организации).</w:t>
      </w:r>
    </w:p>
    <w:p w:rsidR="00D25991" w:rsidRPr="002A094A" w:rsidRDefault="00D25991" w:rsidP="00D2599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sub_11111"/>
      <w:r w:rsidRPr="002A094A">
        <w:rPr>
          <w:rFonts w:ascii="Times New Roman" w:hAnsi="Times New Roman"/>
          <w:sz w:val="20"/>
          <w:szCs w:val="20"/>
        </w:rPr>
        <w:t>* - документы (их копии или сведения, содержащиеся в них), отмеченные "*" с 01.07.2012 орган местного самоуправления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не были представлены заявителем.</w:t>
      </w:r>
      <w:bookmarkEnd w:id="0"/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Услуга предоставляется в течение 30 дней.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7B795B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. Так же Вы можете проконсультироваться в телефонном режиме через Центр телефонных обращений </w:t>
      </w:r>
      <w:r w:rsidR="007B795B">
        <w:rPr>
          <w:rFonts w:ascii="Times New Roman" w:hAnsi="Times New Roman"/>
          <w:b/>
          <w:sz w:val="20"/>
          <w:szCs w:val="20"/>
        </w:rPr>
        <w:t>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6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D25991" w:rsidRPr="002A094A" w:rsidRDefault="00D25991" w:rsidP="00D2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023" w:rsidRDefault="00D25991" w:rsidP="00D25991">
      <w:pPr>
        <w:autoSpaceDE w:val="0"/>
        <w:autoSpaceDN w:val="0"/>
        <w:adjustRightInd w:val="0"/>
        <w:spacing w:after="0" w:line="240" w:lineRule="auto"/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sectPr w:rsidR="006B5023" w:rsidSect="00D25991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5991"/>
    <w:rsid w:val="00086FE5"/>
    <w:rsid w:val="00587FB4"/>
    <w:rsid w:val="006B5023"/>
    <w:rsid w:val="007B795B"/>
    <w:rsid w:val="00D2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259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-gorod.ru/&#1056;&#1077;&#1075;&#1083;&#1072;&#1084;&#1077;&#1085;&#1090;&#1099;%20/" TargetMode="External"/><Relationship Id="rId5" Type="http://schemas.openxmlformats.org/officeDocument/2006/relationships/hyperlink" Target="garantF1://12010763.10000" TargetMode="External"/><Relationship Id="rId4" Type="http://schemas.openxmlformats.org/officeDocument/2006/relationships/hyperlink" Target="garantF1://12032666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3</cp:revision>
  <dcterms:created xsi:type="dcterms:W3CDTF">2015-03-02T13:30:00Z</dcterms:created>
  <dcterms:modified xsi:type="dcterms:W3CDTF">2015-03-02T13:30:00Z</dcterms:modified>
</cp:coreProperties>
</file>